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PARAMOS SUTARTIS Nr. ______</w:t>
      </w:r>
    </w:p>
    <w:p>
      <w:pPr>
        <w:spacing w:after="320"/>
        <w:jc w:val="center"/>
      </w:pPr>
      <w:r>
        <w:rPr>
          <w:rFonts w:ascii="Arial" w:cs="Arial" w:eastAsia="Arial" w:hAnsi="Arial"/>
          <w:sz w:val="21"/>
          <w:szCs w:val="21"/>
        </w:rPr>
        <w:t xml:space="preserve">20____ m. ____________________ d., Klaipėda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Paramos gavėjas: </w:t>
      </w:r>
      <w:r>
        <w:rPr>
          <w:rFonts w:ascii="Arial" w:cs="Arial" w:eastAsia="Arial" w:hAnsi="Arial"/>
          <w:sz w:val="21"/>
          <w:szCs w:val="21"/>
        </w:rPr>
        <w:t xml:space="preserve">VšĮ „Tomo Vaitkaus dviračių sporto klubas“, juridinio asmens kodas 307622837, buveinės adresas Beržų g. 10, LT-92259 Klaipėda, atsiskaitomoji sąskaita LT03 3500 0100 1921 5873, Paysera LT, UAB (banko kodas 35000, SWIFT EVIULT2VXXX), paramos gavėjo statusas suteiktas 2026-09-09, atstovaujama vadovo Tomo Vaitkaus, veikiančio pagal įstatus (toliau – Paramos gavėjas),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ir</w:t>
      </w:r>
    </w:p>
    <w:p>
      <w:pPr>
        <w:spacing w:after="120" w:line="300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Paramos teikėjas: </w:t>
      </w:r>
      <w:r>
        <w:rPr>
          <w:rFonts w:ascii="Arial" w:cs="Arial" w:eastAsia="Arial" w:hAnsi="Arial"/>
          <w:sz w:val="21"/>
          <w:szCs w:val="21"/>
        </w:rPr>
        <w:t xml:space="preserve">_____________________________________________, juridinio asmens kodas ____________________, PVM mokėtojo kodas ____________________, buveinės adresas _____________________________________________, atsiskaitomoji sąskaita ______________________________, bankas ____________________, atstovaujama ______________________________, veikiančio (-ios) pagal ____________________ (toliau – Paramos teikėjas),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toliau kartu vadinami Šalimis, o kiekvienas atskirai – Šalimi, vadovaudamiesi Lietuvos Respublikos labdaros ir paramos įstatymu, sudarė šią sutartį (toliau – Sutartis).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Sutarties dalykas</w:t>
      </w:r>
    </w:p>
    <w:p>
      <w:pPr>
        <w:spacing w:after="120" w:line="300"/>
        <w:jc w:val="left"/>
      </w:pPr>
      <w:r>
        <w:rPr>
          <w:rFonts w:ascii="Arial" w:cs="Arial" w:eastAsia="Arial" w:hAnsi="Arial"/>
          <w:sz w:val="21"/>
          <w:szCs w:val="21"/>
        </w:rPr>
        <w:t xml:space="preserve">1.1. Paramos teikėjas neatlygintinai perduoda Paramos gavėjui piniginę paramą – __________ EUR (________________________________________ eurų) (toliau – Parama).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1.2. Parama skiriama Paramos gavėjo įstatuose numatytai veiklai, atitinkančiai Lietuvos Respublikos labdaros ir paramos įstatyme nustatytus tikslus.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Paramos perdavimas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2.1. Paramos teikėjas perveda Paramą į Paramos gavėjo atsiskaitomąją sąskaitą, nurodytą Sutartyje, per ______ darbo dienų nuo Sutarties pasirašymo dienos. Mokėjimo paskirtyje nurodoma: „Parama pagal sutartį Nr. ______“.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2.2. Parama laikoma perduota, kai lėšos įskaitomos į Paramos gavėjo sąskaitą.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Šalių teisės ir pareigos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3.1. Paramos gavėjas įsipareigoja Paramą naudoti tik Sutarties 1.2 punkte nurodytai paskirčiai.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3.2. Paramos gavėjas per 2 darbo dienas nuo Paramos gavimo išduoda Paramos teikėjui paramos gavimą patvirtinantį dokumentą.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3.3. Paramos gavėjas teisės aktų nustatyta tvarka teikia Valstybinei mokesčių inspekcijai informaciją apie gautą Paramą.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3.4. Parama teikiama neatlygintinai: Paramos teikėjas už ją negauna jokio atlygio, paslaugų, reklamos ar kitokios naudos. Paramos gavėjas, Paramos teikėjui sutikus, gali viešai padėkoti Paramos teikėjui.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3.5. Paramos teikėjo prašymu Paramos gavėjas informuoja Paramos teikėją apie Paramos panaudojimą.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Baigiamosios nuostatos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4.1. Sutartis įsigalioja nuo jos pasirašymo dienos ir galioja iki visiško Šalių įsipareigojimų įvykdymo.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4.2. Sutarties pakeitimai ir papildymai galioja, jei jie sudaryti raštu ir pasirašyti abiejų Šalių.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4.3. Ginčai sprendžiami derybomis, o nepavykus susitarti – Lietuvos Respublikos teisės aktų nustatyta tvarka.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1"/>
          <w:szCs w:val="21"/>
        </w:rPr>
        <w:t xml:space="preserve">4.4. Sutartis sudaryta dviem vienodą teisinę galią turinčiais egzemplioriais, po vieną kiekvienai Šaliai. Sutartis gali būti pasirašyta kvalifikuotu elektroniniu parašu.</w:t>
      </w:r>
    </w:p>
    <w:p>
      <w:pPr>
        <w:spacing w:after="120" w:before="3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Šalių parašai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Paramos gavėjas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VšĮ „Tomo Vaitkaus dviračių sporto klubas“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Vadovas Tomas Vaitkus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______________________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(parašas)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Paramos teikėjas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______________________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(pareigos, vardas, pavardė, parašas)</w:t>
            </w:r>
          </w:p>
        </w:tc>
      </w:tr>
    </w:tbl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2026-10-08T09:50:09.241Z</dcterms:created>
  <dcterms:modified xsi:type="dcterms:W3CDTF">2026-10-08T09:50:09.248Z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